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Приложение к </w:t>
      </w:r>
      <w:r w:rsidR="00952AC1">
        <w:rPr>
          <w:rFonts w:ascii="Times New Roman" w:hAnsi="Times New Roman" w:cs="Times New Roman"/>
          <w:sz w:val="24"/>
          <w:szCs w:val="24"/>
        </w:rPr>
        <w:t>постановлению</w:t>
      </w:r>
      <w:r w:rsidR="00145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города Батайска от</w:t>
      </w:r>
      <w:r w:rsidR="00F06AA0">
        <w:rPr>
          <w:rFonts w:ascii="Times New Roman" w:hAnsi="Times New Roman" w:cs="Times New Roman"/>
          <w:sz w:val="24"/>
          <w:szCs w:val="24"/>
        </w:rPr>
        <w:t xml:space="preserve"> 04.04.2016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F06AA0">
        <w:rPr>
          <w:rFonts w:ascii="Times New Roman" w:hAnsi="Times New Roman" w:cs="Times New Roman"/>
          <w:sz w:val="24"/>
          <w:szCs w:val="24"/>
        </w:rPr>
        <w:t xml:space="preserve"> 682</w:t>
      </w:r>
    </w:p>
    <w:p w:rsidR="00680232" w:rsidRDefault="00680232" w:rsidP="00333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1F69" w:rsidRDefault="00333068" w:rsidP="00333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068">
        <w:rPr>
          <w:rFonts w:ascii="Times New Roman" w:hAnsi="Times New Roman" w:cs="Times New Roman"/>
          <w:sz w:val="24"/>
          <w:szCs w:val="24"/>
        </w:rPr>
        <w:t>Отчет о реализации муниципальной программы города Батайска «Управление муниципальными финансами» за 201</w:t>
      </w:r>
      <w:r w:rsidR="005C1557">
        <w:rPr>
          <w:rFonts w:ascii="Times New Roman" w:hAnsi="Times New Roman" w:cs="Times New Roman"/>
          <w:sz w:val="24"/>
          <w:szCs w:val="24"/>
        </w:rPr>
        <w:t>5</w:t>
      </w:r>
      <w:r w:rsidRPr="0033306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города Батайска «Управление муниципальными финансами»  утверждена постановлением Администрации города Батайска от 01.11.2013 № 424 (далее муниципальная программа). На реализацию муниципальной программы в 201</w:t>
      </w:r>
      <w:r w:rsidR="005C15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Pr="00F06AA0">
        <w:rPr>
          <w:rFonts w:ascii="Times New Roman" w:hAnsi="Times New Roman" w:cs="Times New Roman"/>
          <w:sz w:val="24"/>
          <w:szCs w:val="24"/>
        </w:rPr>
        <w:t>1</w:t>
      </w:r>
      <w:r w:rsidR="00B36673" w:rsidRPr="00F06AA0">
        <w:rPr>
          <w:rFonts w:ascii="Times New Roman" w:hAnsi="Times New Roman" w:cs="Times New Roman"/>
          <w:sz w:val="24"/>
          <w:szCs w:val="24"/>
        </w:rPr>
        <w:t>1 974,7</w:t>
      </w:r>
      <w:r>
        <w:rPr>
          <w:rFonts w:ascii="Times New Roman" w:hAnsi="Times New Roman" w:cs="Times New Roman"/>
          <w:sz w:val="24"/>
          <w:szCs w:val="24"/>
        </w:rPr>
        <w:t xml:space="preserve"> тыс.рублей. Фактическое освоение средств муници</w:t>
      </w:r>
      <w:r w:rsidR="00B36673">
        <w:rPr>
          <w:rFonts w:ascii="Times New Roman" w:hAnsi="Times New Roman" w:cs="Times New Roman"/>
          <w:sz w:val="24"/>
          <w:szCs w:val="24"/>
        </w:rPr>
        <w:t xml:space="preserve">пальной программы по итогам </w:t>
      </w:r>
      <w:r w:rsidR="00B36673" w:rsidRPr="00F06AA0">
        <w:rPr>
          <w:rFonts w:ascii="Times New Roman" w:hAnsi="Times New Roman" w:cs="Times New Roman"/>
          <w:sz w:val="24"/>
          <w:szCs w:val="24"/>
        </w:rPr>
        <w:t>2015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5C1557">
        <w:rPr>
          <w:rFonts w:ascii="Times New Roman" w:hAnsi="Times New Roman" w:cs="Times New Roman"/>
          <w:sz w:val="24"/>
          <w:szCs w:val="24"/>
        </w:rPr>
        <w:t>11 973,5</w:t>
      </w:r>
      <w:r>
        <w:rPr>
          <w:rFonts w:ascii="Times New Roman" w:hAnsi="Times New Roman" w:cs="Times New Roman"/>
          <w:sz w:val="24"/>
          <w:szCs w:val="24"/>
        </w:rPr>
        <w:t xml:space="preserve"> тыс.рублей, или 100%.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Муниципальная программа включает в себя  следующие подпрограммы: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– «Долгосрочное финансовое планирование»;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1C25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«Нормативно-методическое обеспечение и организация бюджетного процесса»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 – «Управление муниципальным долгом города Батайска»</w:t>
      </w:r>
      <w:r w:rsidR="001C2504">
        <w:rPr>
          <w:rFonts w:ascii="Times New Roman" w:hAnsi="Times New Roman" w:cs="Times New Roman"/>
          <w:sz w:val="24"/>
          <w:szCs w:val="24"/>
        </w:rPr>
        <w:t>.</w:t>
      </w:r>
    </w:p>
    <w:p w:rsidR="001C2504" w:rsidRDefault="001C250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C15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на постоянной основе.</w:t>
      </w:r>
    </w:p>
    <w:p w:rsidR="007A2D02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отчетный год  в бюджет города поступило </w:t>
      </w:r>
      <w:r w:rsidR="005C1557">
        <w:rPr>
          <w:rFonts w:ascii="Times New Roman" w:hAnsi="Times New Roman" w:cs="Times New Roman"/>
          <w:sz w:val="24"/>
          <w:szCs w:val="24"/>
        </w:rPr>
        <w:t>858 590</w:t>
      </w:r>
      <w:r>
        <w:rPr>
          <w:rFonts w:ascii="Times New Roman" w:hAnsi="Times New Roman" w:cs="Times New Roman"/>
          <w:sz w:val="24"/>
          <w:szCs w:val="24"/>
        </w:rPr>
        <w:t xml:space="preserve">,0 тыс.рублей налоговых и неналоговых доходов, что составило </w:t>
      </w:r>
      <w:r w:rsidR="005C1557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 xml:space="preserve"> % к поступлениям 201</w:t>
      </w:r>
      <w:r w:rsidR="005C15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в сопоставимых условиях. Снижение поступлений в основном произошло  по </w:t>
      </w:r>
      <w:r w:rsidR="005C1557">
        <w:rPr>
          <w:rFonts w:ascii="Times New Roman" w:hAnsi="Times New Roman" w:cs="Times New Roman"/>
          <w:sz w:val="24"/>
          <w:szCs w:val="24"/>
        </w:rPr>
        <w:t>налогу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и по доходам от арендной платы за землю, продаже права аренды</w:t>
      </w:r>
      <w:r w:rsidR="005C1557">
        <w:rPr>
          <w:rFonts w:ascii="Times New Roman" w:hAnsi="Times New Roman" w:cs="Times New Roman"/>
          <w:sz w:val="24"/>
          <w:szCs w:val="24"/>
        </w:rPr>
        <w:t>, доходам от продажи земли</w:t>
      </w:r>
      <w:r w:rsidR="00AD6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налоговым и неналоговым доходам исполнены на </w:t>
      </w:r>
      <w:r w:rsidR="00AD6C5A">
        <w:rPr>
          <w:rFonts w:ascii="Times New Roman" w:hAnsi="Times New Roman" w:cs="Times New Roman"/>
          <w:sz w:val="24"/>
          <w:szCs w:val="24"/>
        </w:rPr>
        <w:t>87,2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Значительное неисполнение произошло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доходы физических лиц (-</w:t>
      </w:r>
      <w:r w:rsidR="00AD6C5A">
        <w:rPr>
          <w:rFonts w:ascii="Times New Roman" w:hAnsi="Times New Roman" w:cs="Times New Roman"/>
          <w:sz w:val="24"/>
          <w:szCs w:val="24"/>
        </w:rPr>
        <w:t>12,9</w:t>
      </w:r>
      <w:r>
        <w:rPr>
          <w:rFonts w:ascii="Times New Roman" w:hAnsi="Times New Roman" w:cs="Times New Roman"/>
          <w:sz w:val="24"/>
          <w:szCs w:val="24"/>
        </w:rPr>
        <w:t>% или -</w:t>
      </w:r>
      <w:r w:rsidR="009E7BF9">
        <w:rPr>
          <w:rFonts w:ascii="Times New Roman" w:hAnsi="Times New Roman" w:cs="Times New Roman"/>
          <w:sz w:val="24"/>
          <w:szCs w:val="24"/>
        </w:rPr>
        <w:t>36,9</w:t>
      </w:r>
      <w:r>
        <w:rPr>
          <w:rFonts w:ascii="Times New Roman" w:hAnsi="Times New Roman" w:cs="Times New Roman"/>
          <w:sz w:val="24"/>
          <w:szCs w:val="24"/>
        </w:rPr>
        <w:t xml:space="preserve"> млн.рублей) по причине отсутствия запланированного роста уровня заработной платы, заложенного в прогнозе социально-экономического развития города, неуплатой налога отдельными организациями</w:t>
      </w:r>
      <w:r w:rsidR="00F9393A">
        <w:rPr>
          <w:rFonts w:ascii="Times New Roman" w:hAnsi="Times New Roman" w:cs="Times New Roman"/>
          <w:sz w:val="24"/>
          <w:szCs w:val="24"/>
        </w:rPr>
        <w:t>, сокращением численности работающих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2208" w:rsidRDefault="00F9393A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арендной плате за землю средствам от продажи права аренды в связи с отказом ряда крупных арендаторов от аренды земли в связи с ростом кадастровой стоимости земли; отказом победителей аукционов от заключения договоров, образованием задолженности за текущий год</w:t>
      </w:r>
      <w:r w:rsidR="009D2208">
        <w:rPr>
          <w:rFonts w:ascii="Times New Roman" w:hAnsi="Times New Roman" w:cs="Times New Roman"/>
          <w:sz w:val="24"/>
          <w:szCs w:val="24"/>
        </w:rPr>
        <w:t>.</w:t>
      </w:r>
    </w:p>
    <w:p w:rsidR="00851BB5" w:rsidRDefault="00851BB5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За 201</w:t>
      </w:r>
      <w:r w:rsidR="00AA17F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налоговая недоимка в консолидированный бюджет по городу Батайску возросла на </w:t>
      </w:r>
      <w:r w:rsidR="00366F26">
        <w:rPr>
          <w:rFonts w:ascii="Times New Roman" w:hAnsi="Times New Roman" w:cs="Times New Roman"/>
          <w:sz w:val="24"/>
          <w:szCs w:val="24"/>
        </w:rPr>
        <w:t>40 541,9</w:t>
      </w:r>
      <w:r>
        <w:rPr>
          <w:rFonts w:ascii="Times New Roman" w:hAnsi="Times New Roman" w:cs="Times New Roman"/>
          <w:sz w:val="24"/>
          <w:szCs w:val="24"/>
        </w:rPr>
        <w:t xml:space="preserve"> тыс.рублей ( с </w:t>
      </w:r>
      <w:r w:rsidR="00366F26">
        <w:rPr>
          <w:rFonts w:ascii="Times New Roman" w:hAnsi="Times New Roman" w:cs="Times New Roman"/>
          <w:sz w:val="24"/>
          <w:szCs w:val="24"/>
        </w:rPr>
        <w:t xml:space="preserve">105 764,5 </w:t>
      </w:r>
      <w:r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366F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366F26">
        <w:rPr>
          <w:rFonts w:ascii="Times New Roman" w:hAnsi="Times New Roman" w:cs="Times New Roman"/>
          <w:sz w:val="24"/>
          <w:szCs w:val="24"/>
        </w:rPr>
        <w:t xml:space="preserve">146 306,4 </w:t>
      </w:r>
      <w:r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366F2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). В структуре налоговой недоимки </w:t>
      </w:r>
      <w:r w:rsidR="00ED7B45">
        <w:rPr>
          <w:rFonts w:ascii="Times New Roman" w:hAnsi="Times New Roman" w:cs="Times New Roman"/>
          <w:sz w:val="24"/>
          <w:szCs w:val="24"/>
        </w:rPr>
        <w:t>основную долю составляет недоимка по транспортному налогу с физических лиц (3</w:t>
      </w:r>
      <w:r w:rsidR="00366F26">
        <w:rPr>
          <w:rFonts w:ascii="Times New Roman" w:hAnsi="Times New Roman" w:cs="Times New Roman"/>
          <w:sz w:val="24"/>
          <w:szCs w:val="24"/>
        </w:rPr>
        <w:t>3,5</w:t>
      </w:r>
      <w:r w:rsidR="00ED7B45">
        <w:rPr>
          <w:rFonts w:ascii="Times New Roman" w:hAnsi="Times New Roman" w:cs="Times New Roman"/>
          <w:sz w:val="24"/>
          <w:szCs w:val="24"/>
        </w:rPr>
        <w:t>%), налогу на прибыль организаций (</w:t>
      </w:r>
      <w:r w:rsidR="00366F26">
        <w:rPr>
          <w:rFonts w:ascii="Times New Roman" w:hAnsi="Times New Roman" w:cs="Times New Roman"/>
          <w:sz w:val="24"/>
          <w:szCs w:val="24"/>
        </w:rPr>
        <w:t>29,7</w:t>
      </w:r>
      <w:r w:rsidR="00ED7B45">
        <w:rPr>
          <w:rFonts w:ascii="Times New Roman" w:hAnsi="Times New Roman" w:cs="Times New Roman"/>
          <w:sz w:val="24"/>
          <w:szCs w:val="24"/>
        </w:rPr>
        <w:t xml:space="preserve">%), земельному налогу </w:t>
      </w:r>
      <w:r w:rsidR="00366F26">
        <w:rPr>
          <w:rFonts w:ascii="Times New Roman" w:hAnsi="Times New Roman" w:cs="Times New Roman"/>
          <w:sz w:val="24"/>
          <w:szCs w:val="24"/>
        </w:rPr>
        <w:t xml:space="preserve">с физических лиц </w:t>
      </w:r>
      <w:r w:rsidR="00ED7B45">
        <w:rPr>
          <w:rFonts w:ascii="Times New Roman" w:hAnsi="Times New Roman" w:cs="Times New Roman"/>
          <w:sz w:val="24"/>
          <w:szCs w:val="24"/>
        </w:rPr>
        <w:t>(1</w:t>
      </w:r>
      <w:r w:rsidR="00366F26">
        <w:rPr>
          <w:rFonts w:ascii="Times New Roman" w:hAnsi="Times New Roman" w:cs="Times New Roman"/>
          <w:sz w:val="24"/>
          <w:szCs w:val="24"/>
        </w:rPr>
        <w:t>4</w:t>
      </w:r>
      <w:r w:rsidR="00ED7B45">
        <w:rPr>
          <w:rFonts w:ascii="Times New Roman" w:hAnsi="Times New Roman" w:cs="Times New Roman"/>
          <w:sz w:val="24"/>
          <w:szCs w:val="24"/>
        </w:rPr>
        <w:t>,2%).</w:t>
      </w:r>
    </w:p>
    <w:p w:rsidR="00366F26" w:rsidRPr="00366F26" w:rsidRDefault="00ED7B45" w:rsidP="00366F26">
      <w:pPr>
        <w:ind w:left="-567"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66F2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6F26" w:rsidRPr="00366F26">
        <w:rPr>
          <w:rFonts w:ascii="Times New Roman" w:hAnsi="Times New Roman" w:cs="Times New Roman"/>
          <w:sz w:val="24"/>
          <w:szCs w:val="24"/>
        </w:rPr>
        <w:t xml:space="preserve">      Причины </w:t>
      </w:r>
      <w:r w:rsidR="00366F26">
        <w:rPr>
          <w:rFonts w:ascii="Times New Roman" w:hAnsi="Times New Roman" w:cs="Times New Roman"/>
          <w:sz w:val="24"/>
          <w:szCs w:val="24"/>
        </w:rPr>
        <w:t xml:space="preserve">роста </w:t>
      </w:r>
      <w:r w:rsidR="00366F26" w:rsidRPr="00366F26">
        <w:rPr>
          <w:rFonts w:ascii="Times New Roman" w:hAnsi="Times New Roman" w:cs="Times New Roman"/>
          <w:sz w:val="24"/>
          <w:szCs w:val="24"/>
        </w:rPr>
        <w:t>недоимки:</w:t>
      </w:r>
    </w:p>
    <w:p w:rsidR="00366F26" w:rsidRPr="00366F26" w:rsidRDefault="00366F26" w:rsidP="00366F26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66F26">
        <w:rPr>
          <w:rFonts w:ascii="Times New Roman" w:hAnsi="Times New Roman" w:cs="Times New Roman"/>
          <w:sz w:val="24"/>
          <w:szCs w:val="24"/>
        </w:rPr>
        <w:lastRenderedPageBreak/>
        <w:t>В декабре 2015 года ООО НПП «Промсинтез» подана декларация по налогу на прибыль на 35 945,2 тыс.рублей, а уже в январе сдана уточненная минусовая декларация на эту же сумму.</w:t>
      </w:r>
    </w:p>
    <w:p w:rsidR="00366F26" w:rsidRDefault="00366F26" w:rsidP="00366F26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66F26">
        <w:rPr>
          <w:rFonts w:ascii="Times New Roman" w:hAnsi="Times New Roman" w:cs="Times New Roman"/>
          <w:sz w:val="24"/>
          <w:szCs w:val="24"/>
        </w:rPr>
        <w:t xml:space="preserve">Рост недоимки по имущественным налогам физических лиц, обусловленный несвоевременной оплатой, а также ростом начислений за 2014 год </w:t>
      </w:r>
    </w:p>
    <w:p w:rsidR="00366F26" w:rsidRPr="00366F26" w:rsidRDefault="00366F26" w:rsidP="00366F26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66F26">
        <w:rPr>
          <w:rFonts w:ascii="Times New Roman" w:hAnsi="Times New Roman" w:cs="Times New Roman"/>
          <w:sz w:val="24"/>
          <w:szCs w:val="24"/>
        </w:rPr>
        <w:t>В недоимке по состоянию на 01.01.2016 не учтены поступления имущественных налогов за декабрь 2015 года в сумме 9 765,6 тыс.руб.: по налогу на имущество физических лиц 1589,5 тыс.руб, по земельному налогу 3 053,1 тыс.руб., по транспортному налогу 5123,0 тыс.руб.)</w:t>
      </w:r>
    </w:p>
    <w:p w:rsidR="00366F26" w:rsidRDefault="00366F26" w:rsidP="00366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092" w:rsidRPr="00795092" w:rsidRDefault="00795092" w:rsidP="00366F26">
      <w:pPr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z w:val="24"/>
          <w:szCs w:val="24"/>
        </w:rPr>
        <w:t>Бюджет города на 2014 год и на плановый период 2015 и 2016 годов сформирован по программной структуре на основе вновь утвержденных Администрацией города муниципальных программ.</w:t>
      </w:r>
    </w:p>
    <w:p w:rsidR="00795092" w:rsidRPr="00795092" w:rsidRDefault="00795092" w:rsidP="0079509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pacing w:val="-6"/>
          <w:sz w:val="24"/>
          <w:szCs w:val="24"/>
        </w:rPr>
        <w:t>Правовые основания для формирования и реализации с 1 января 2014 года</w:t>
      </w:r>
      <w:r w:rsidRPr="00795092">
        <w:rPr>
          <w:rFonts w:ascii="Times New Roman" w:hAnsi="Times New Roman" w:cs="Times New Roman"/>
          <w:sz w:val="24"/>
          <w:szCs w:val="24"/>
        </w:rPr>
        <w:t xml:space="preserve"> муниципальных программ установлены Бюджетным кодексом Российской Федерации. </w:t>
      </w:r>
    </w:p>
    <w:p w:rsidR="00333068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 w:rsidRPr="00795092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города Батайска от   8 октября 2013 года № 198 «Об утверждении Положения о порядке разработки, реализации и оценки эффективности муниципальных программ города Батайска» утверждены 20 муниципальных программ города Батайска</w:t>
      </w:r>
    </w:p>
    <w:p w:rsidR="00795092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итогам 201</w:t>
      </w:r>
      <w:r w:rsidR="00366F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доля программных расходов в общей сумме расходов бюджета города составила </w:t>
      </w:r>
      <w:r w:rsidR="00366F26">
        <w:rPr>
          <w:rFonts w:ascii="Times New Roman" w:hAnsi="Times New Roman" w:cs="Times New Roman"/>
          <w:sz w:val="24"/>
          <w:szCs w:val="24"/>
        </w:rPr>
        <w:t>93,9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795092" w:rsidRDefault="0079509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2 «Нормативно-методическое обеспечение и организация бюджетного процесса» на 201</w:t>
      </w:r>
      <w:r w:rsidR="00366F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пред</w:t>
      </w:r>
      <w:r w:rsidR="00D0324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смотрено </w:t>
      </w:r>
      <w:r w:rsidR="00366F26">
        <w:rPr>
          <w:rFonts w:ascii="Times New Roman" w:hAnsi="Times New Roman" w:cs="Times New Roman"/>
          <w:sz w:val="24"/>
          <w:szCs w:val="24"/>
        </w:rPr>
        <w:t>11 974,7</w:t>
      </w:r>
      <w:r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D03240">
        <w:rPr>
          <w:rFonts w:ascii="Times New Roman" w:hAnsi="Times New Roman" w:cs="Times New Roman"/>
          <w:sz w:val="24"/>
          <w:szCs w:val="24"/>
        </w:rPr>
        <w:t>. По итогам 201</w:t>
      </w:r>
      <w:r w:rsidR="00366F26">
        <w:rPr>
          <w:rFonts w:ascii="Times New Roman" w:hAnsi="Times New Roman" w:cs="Times New Roman"/>
          <w:sz w:val="24"/>
          <w:szCs w:val="24"/>
        </w:rPr>
        <w:t>5</w:t>
      </w:r>
      <w:r w:rsidR="00D03240">
        <w:rPr>
          <w:rFonts w:ascii="Times New Roman" w:hAnsi="Times New Roman" w:cs="Times New Roman"/>
          <w:sz w:val="24"/>
          <w:szCs w:val="24"/>
        </w:rPr>
        <w:t xml:space="preserve"> года заключено  </w:t>
      </w:r>
      <w:r w:rsidR="00366F26">
        <w:rPr>
          <w:rFonts w:ascii="Times New Roman" w:hAnsi="Times New Roman" w:cs="Times New Roman"/>
          <w:sz w:val="24"/>
          <w:szCs w:val="24"/>
        </w:rPr>
        <w:t>18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 xml:space="preserve">муниципальных контрактов и договоров на общую сумму </w:t>
      </w:r>
      <w:r w:rsidR="00366F26">
        <w:rPr>
          <w:rFonts w:ascii="Times New Roman" w:hAnsi="Times New Roman" w:cs="Times New Roman"/>
          <w:sz w:val="24"/>
          <w:szCs w:val="24"/>
        </w:rPr>
        <w:t>445,5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 xml:space="preserve">тыс.рублей. Фактическое освоение средств составило </w:t>
      </w:r>
      <w:r w:rsidR="00366F26">
        <w:rPr>
          <w:rFonts w:ascii="Times New Roman" w:hAnsi="Times New Roman" w:cs="Times New Roman"/>
          <w:sz w:val="24"/>
          <w:szCs w:val="24"/>
        </w:rPr>
        <w:t>11 973,5</w:t>
      </w:r>
      <w:r w:rsidR="00D03240">
        <w:rPr>
          <w:rFonts w:ascii="Times New Roman" w:hAnsi="Times New Roman" w:cs="Times New Roman"/>
          <w:sz w:val="24"/>
          <w:szCs w:val="24"/>
        </w:rPr>
        <w:t xml:space="preserve"> тыс.рублей, или 100 %.</w:t>
      </w:r>
    </w:p>
    <w:p w:rsidR="00510EDB" w:rsidRDefault="00510EDB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 2 реализовывались в течение 201</w:t>
      </w:r>
      <w:r w:rsidR="00366F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на постоянной основе</w:t>
      </w:r>
      <w:r w:rsidR="004D3D1D">
        <w:rPr>
          <w:rFonts w:ascii="Times New Roman" w:hAnsi="Times New Roman" w:cs="Times New Roman"/>
          <w:sz w:val="24"/>
          <w:szCs w:val="24"/>
        </w:rPr>
        <w:t>.</w:t>
      </w:r>
    </w:p>
    <w:p w:rsidR="008F4AD9" w:rsidRDefault="008F4AD9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Проект бюджета города на 201</w:t>
      </w:r>
      <w:r w:rsidR="008D6F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8D6FF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своевременно (до 15.11.2014) направлен в Батайскую городскую Думу.</w:t>
      </w:r>
      <w:r w:rsidR="00D81E45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законодательства 0</w:t>
      </w:r>
      <w:r w:rsidR="00C34816">
        <w:rPr>
          <w:rFonts w:ascii="Times New Roman" w:hAnsi="Times New Roman" w:cs="Times New Roman"/>
          <w:sz w:val="24"/>
          <w:szCs w:val="24"/>
        </w:rPr>
        <w:t>4</w:t>
      </w:r>
      <w:r w:rsidR="00D81E45">
        <w:rPr>
          <w:rFonts w:ascii="Times New Roman" w:hAnsi="Times New Roman" w:cs="Times New Roman"/>
          <w:sz w:val="24"/>
          <w:szCs w:val="24"/>
        </w:rPr>
        <w:t>.12.201</w:t>
      </w:r>
      <w:r w:rsidR="00C34816">
        <w:rPr>
          <w:rFonts w:ascii="Times New Roman" w:hAnsi="Times New Roman" w:cs="Times New Roman"/>
          <w:sz w:val="24"/>
          <w:szCs w:val="24"/>
        </w:rPr>
        <w:t>4</w:t>
      </w:r>
      <w:r w:rsidR="00D81E45">
        <w:rPr>
          <w:rFonts w:ascii="Times New Roman" w:hAnsi="Times New Roman" w:cs="Times New Roman"/>
          <w:sz w:val="24"/>
          <w:szCs w:val="24"/>
        </w:rPr>
        <w:t xml:space="preserve"> проведены публичные слушания по проекту решения Батайской городской Думы «О бюджете города Батайска на 201</w:t>
      </w:r>
      <w:r w:rsidR="00C34816">
        <w:rPr>
          <w:rFonts w:ascii="Times New Roman" w:hAnsi="Times New Roman" w:cs="Times New Roman"/>
          <w:sz w:val="24"/>
          <w:szCs w:val="24"/>
        </w:rPr>
        <w:t>5</w:t>
      </w:r>
      <w:r w:rsidR="00D81E4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C34816">
        <w:rPr>
          <w:rFonts w:ascii="Times New Roman" w:hAnsi="Times New Roman" w:cs="Times New Roman"/>
          <w:sz w:val="24"/>
          <w:szCs w:val="24"/>
        </w:rPr>
        <w:t>6</w:t>
      </w:r>
      <w:r w:rsidR="00D81E45">
        <w:rPr>
          <w:rFonts w:ascii="Times New Roman" w:hAnsi="Times New Roman" w:cs="Times New Roman"/>
          <w:sz w:val="24"/>
          <w:szCs w:val="24"/>
        </w:rPr>
        <w:t xml:space="preserve"> и 201</w:t>
      </w:r>
      <w:r w:rsidR="00C34816">
        <w:rPr>
          <w:rFonts w:ascii="Times New Roman" w:hAnsi="Times New Roman" w:cs="Times New Roman"/>
          <w:sz w:val="24"/>
          <w:szCs w:val="24"/>
        </w:rPr>
        <w:t>7</w:t>
      </w:r>
      <w:r w:rsidR="00D81E45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C601DC" w:rsidRDefault="00C601DC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города Батайска утвержден решением Батайской городской Думы от </w:t>
      </w:r>
      <w:r w:rsidR="00AA650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AA65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AA6508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1DC" w:rsidRDefault="00C601DC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AA650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в решение о бюджете изменения вносились</w:t>
      </w:r>
      <w:r w:rsidR="00536D16">
        <w:rPr>
          <w:rFonts w:ascii="Times New Roman" w:hAnsi="Times New Roman" w:cs="Times New Roman"/>
          <w:sz w:val="24"/>
          <w:szCs w:val="24"/>
        </w:rPr>
        <w:t xml:space="preserve"> </w:t>
      </w:r>
      <w:r w:rsidR="00AA6508">
        <w:rPr>
          <w:rFonts w:ascii="Times New Roman" w:hAnsi="Times New Roman" w:cs="Times New Roman"/>
          <w:sz w:val="24"/>
          <w:szCs w:val="24"/>
        </w:rPr>
        <w:t xml:space="preserve">7 </w:t>
      </w:r>
      <w:r w:rsidR="00536D16">
        <w:rPr>
          <w:rFonts w:ascii="Times New Roman" w:hAnsi="Times New Roman" w:cs="Times New Roman"/>
          <w:sz w:val="24"/>
          <w:szCs w:val="24"/>
        </w:rPr>
        <w:t>раз.</w:t>
      </w:r>
    </w:p>
    <w:p w:rsidR="00536D16" w:rsidRDefault="00536D16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F296E">
        <w:rPr>
          <w:rFonts w:ascii="Times New Roman" w:hAnsi="Times New Roman" w:cs="Times New Roman"/>
          <w:sz w:val="24"/>
          <w:szCs w:val="24"/>
        </w:rPr>
        <w:t>в целях регламентации бюджетного процесса в городе Батайске подготовлены следующие нормативно-правовые акты:</w:t>
      </w:r>
    </w:p>
    <w:p w:rsidR="009F296E" w:rsidRDefault="009F296E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Батайской городской Думы от  25.11.2015 №81</w:t>
      </w:r>
      <w:r w:rsidR="00B670D9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Батайской городской Думы от 22.02.2012 №174 «Об утверждении «Положения о бюджетном процессе в городе Батайске»;</w:t>
      </w:r>
    </w:p>
    <w:p w:rsidR="00B670D9" w:rsidRDefault="00B670D9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08.12.2015 №2324 «Об основных направлениях бюджетной, долговой и налоговой политики города Батайска на 2016 -2018 годы»;</w:t>
      </w:r>
    </w:p>
    <w:p w:rsidR="00B670D9" w:rsidRDefault="00B670D9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города Батайска</w:t>
      </w:r>
      <w:r w:rsidR="00DA7BA3">
        <w:rPr>
          <w:rFonts w:ascii="Times New Roman" w:hAnsi="Times New Roman" w:cs="Times New Roman"/>
          <w:sz w:val="24"/>
          <w:szCs w:val="24"/>
        </w:rPr>
        <w:t xml:space="preserve">  от 30.10.2015 №2115 «О порядке формирования муниципального задания на оказание муниципальных услуг (выполнение работ) в отношении муниципальных учреждений города Батайска и финансового обеспечения  выполнения муниципального задания»;</w:t>
      </w:r>
    </w:p>
    <w:p w:rsidR="00DA7BA3" w:rsidRDefault="00DA7BA3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14.05.2015 №936 «Об утверждении программы повышения качества управления бюджетным процессом в городе Батайске на 2015 год»;</w:t>
      </w:r>
    </w:p>
    <w:p w:rsidR="00DA7BA3" w:rsidRDefault="00DA7BA3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27.02.2015 №368 «О Порядке формирования, ведения и утверждения ведомственных перечней муниципальных услуг и работ, оказываемых и выполняемых муниципальными учреждениями города Батайска»;</w:t>
      </w:r>
    </w:p>
    <w:p w:rsidR="00DA7BA3" w:rsidRDefault="00105604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«Об утверждении правил определения нормативных затрат на обеспечение функций органов местного самоуправления и созданных ими отраслевых (функциональных) органов муниципального образования «Город Батайск» в том числе подведомственных муниципальных учреждений»;</w:t>
      </w:r>
    </w:p>
    <w:p w:rsidR="00105604" w:rsidRDefault="00105604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25.12.2015 №2465 «Об утверждении порядка разработки и утверждения бюджетного прогноза города Батайска на долгосрочный период».</w:t>
      </w:r>
    </w:p>
    <w:p w:rsidR="00105604" w:rsidRDefault="00105604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2015 году в установленные сроки утверждены ведомственные перечни муниципальных услуг по муниципальным учреждениям города Батайска в системе «Электронный бюджет».</w:t>
      </w:r>
    </w:p>
    <w:p w:rsidR="00105604" w:rsidRDefault="00105604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Завершена работа по включению сведений в реестр участников и неучастников бюджетного процесса в системе «Электронный бюджет».</w:t>
      </w:r>
    </w:p>
    <w:p w:rsidR="000C3377" w:rsidRDefault="000C3377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реализацию основных мероприятий подпрограммы 3 «Управление муниципальным долгом города Батайска» по итогам 201</w:t>
      </w:r>
      <w:r w:rsidR="009F296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расходы бюджета города не </w:t>
      </w:r>
      <w:r w:rsidR="00742A7A">
        <w:rPr>
          <w:rFonts w:ascii="Times New Roman" w:hAnsi="Times New Roman" w:cs="Times New Roman"/>
          <w:sz w:val="24"/>
          <w:szCs w:val="24"/>
        </w:rPr>
        <w:t>предусмотрены. Основные мероприятия подпрограммы реализовывались в течение 201</w:t>
      </w:r>
      <w:r w:rsidR="009F296E">
        <w:rPr>
          <w:rFonts w:ascii="Times New Roman" w:hAnsi="Times New Roman" w:cs="Times New Roman"/>
          <w:sz w:val="24"/>
          <w:szCs w:val="24"/>
        </w:rPr>
        <w:t>5</w:t>
      </w:r>
      <w:r w:rsidR="00742A7A">
        <w:rPr>
          <w:rFonts w:ascii="Times New Roman" w:hAnsi="Times New Roman" w:cs="Times New Roman"/>
          <w:sz w:val="24"/>
          <w:szCs w:val="24"/>
        </w:rPr>
        <w:t xml:space="preserve"> года на постоянной основе.  В рамках реализации основных</w:t>
      </w:r>
      <w:r w:rsidR="006E1EE8">
        <w:rPr>
          <w:rFonts w:ascii="Times New Roman" w:hAnsi="Times New Roman" w:cs="Times New Roman"/>
          <w:sz w:val="24"/>
          <w:szCs w:val="24"/>
        </w:rPr>
        <w:t xml:space="preserve"> мероприятий подпрограммы 3 по итогам </w:t>
      </w:r>
      <w:r w:rsidR="006E1EE8" w:rsidRPr="00F06AA0">
        <w:rPr>
          <w:rFonts w:ascii="Times New Roman" w:hAnsi="Times New Roman" w:cs="Times New Roman"/>
          <w:sz w:val="24"/>
          <w:szCs w:val="24"/>
        </w:rPr>
        <w:t>201</w:t>
      </w:r>
      <w:r w:rsidR="00952AC1" w:rsidRPr="00F06AA0">
        <w:rPr>
          <w:rFonts w:ascii="Times New Roman" w:hAnsi="Times New Roman" w:cs="Times New Roman"/>
          <w:sz w:val="24"/>
          <w:szCs w:val="24"/>
        </w:rPr>
        <w:t>5</w:t>
      </w:r>
      <w:r w:rsidR="006E1EE8" w:rsidRPr="00F06AA0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EE8">
        <w:rPr>
          <w:rFonts w:ascii="Times New Roman" w:hAnsi="Times New Roman" w:cs="Times New Roman"/>
          <w:sz w:val="24"/>
          <w:szCs w:val="24"/>
        </w:rPr>
        <w:t xml:space="preserve"> показатели объёма муниципального долга и расходов на его обслуживание, предусмотренные в бюджете города на 201</w:t>
      </w:r>
      <w:r w:rsidR="005272C2">
        <w:rPr>
          <w:rFonts w:ascii="Times New Roman" w:hAnsi="Times New Roman" w:cs="Times New Roman"/>
          <w:sz w:val="24"/>
          <w:szCs w:val="24"/>
        </w:rPr>
        <w:t>5</w:t>
      </w:r>
      <w:r w:rsidR="006E1EE8">
        <w:rPr>
          <w:rFonts w:ascii="Times New Roman" w:hAnsi="Times New Roman" w:cs="Times New Roman"/>
          <w:sz w:val="24"/>
          <w:szCs w:val="24"/>
        </w:rPr>
        <w:t>-201</w:t>
      </w:r>
      <w:r w:rsidR="005272C2">
        <w:rPr>
          <w:rFonts w:ascii="Times New Roman" w:hAnsi="Times New Roman" w:cs="Times New Roman"/>
          <w:sz w:val="24"/>
          <w:szCs w:val="24"/>
        </w:rPr>
        <w:t>7</w:t>
      </w:r>
      <w:r w:rsidR="006E1EE8">
        <w:rPr>
          <w:rFonts w:ascii="Times New Roman" w:hAnsi="Times New Roman" w:cs="Times New Roman"/>
          <w:sz w:val="24"/>
          <w:szCs w:val="24"/>
        </w:rPr>
        <w:t xml:space="preserve">годы, соответствуют ограничениям, установленным  бюджетным законодательством. 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отчету: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«Сведения о достижении значений индикаторов (показателей),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«Сведения о степени выполнения основных мероприятий подпрограмм муниципальной программы»,</w:t>
      </w:r>
    </w:p>
    <w:p w:rsidR="00680232" w:rsidRDefault="00680232" w:rsidP="00795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«Сведения об использовании местного бюджета, областного бюджета, федерального и внебюджетных источников на реализацию муниципальной программы «Управление муниципальными финансами» </w:t>
      </w:r>
      <w:r w:rsidRPr="00F06AA0">
        <w:rPr>
          <w:rFonts w:ascii="Times New Roman" w:hAnsi="Times New Roman" w:cs="Times New Roman"/>
          <w:sz w:val="24"/>
          <w:szCs w:val="24"/>
        </w:rPr>
        <w:t>за 201</w:t>
      </w:r>
      <w:r w:rsidR="00952AC1" w:rsidRPr="00F06AA0">
        <w:rPr>
          <w:rFonts w:ascii="Times New Roman" w:hAnsi="Times New Roman" w:cs="Times New Roman"/>
          <w:sz w:val="24"/>
          <w:szCs w:val="24"/>
        </w:rPr>
        <w:t>5</w:t>
      </w:r>
      <w:r w:rsidRPr="00F06AA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95B65" w:rsidRDefault="00895B65" w:rsidP="007950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65" w:rsidRDefault="00585022" w:rsidP="003C46E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C46EF">
        <w:rPr>
          <w:rFonts w:ascii="Times New Roman" w:hAnsi="Times New Roman" w:cs="Times New Roman"/>
          <w:sz w:val="24"/>
          <w:szCs w:val="24"/>
        </w:rPr>
        <w:t>ачальник общего отдела</w:t>
      </w:r>
    </w:p>
    <w:p w:rsidR="003C46EF" w:rsidRDefault="003C46EF" w:rsidP="003C46E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  </w:t>
      </w:r>
      <w:r w:rsidR="00585022">
        <w:rPr>
          <w:rFonts w:ascii="Times New Roman" w:hAnsi="Times New Roman" w:cs="Times New Roman"/>
          <w:sz w:val="24"/>
          <w:szCs w:val="24"/>
        </w:rPr>
        <w:t>В.С.Мирошникова</w:t>
      </w:r>
    </w:p>
    <w:sectPr w:rsidR="003C46EF" w:rsidSect="00646BF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052" w:rsidRDefault="00857052" w:rsidP="006E1EE8">
      <w:pPr>
        <w:spacing w:after="0" w:line="240" w:lineRule="auto"/>
      </w:pPr>
      <w:r>
        <w:separator/>
      </w:r>
    </w:p>
  </w:endnote>
  <w:endnote w:type="continuationSeparator" w:id="1">
    <w:p w:rsidR="00857052" w:rsidRDefault="00857052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052" w:rsidRDefault="00857052" w:rsidP="006E1EE8">
      <w:pPr>
        <w:spacing w:after="0" w:line="240" w:lineRule="auto"/>
      </w:pPr>
      <w:r>
        <w:separator/>
      </w:r>
    </w:p>
  </w:footnote>
  <w:footnote w:type="continuationSeparator" w:id="1">
    <w:p w:rsidR="00857052" w:rsidRDefault="00857052" w:rsidP="006E1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666"/>
    <w:multiLevelType w:val="hybridMultilevel"/>
    <w:tmpl w:val="96582E9A"/>
    <w:lvl w:ilvl="0" w:tplc="218A16E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068"/>
    <w:rsid w:val="000C3377"/>
    <w:rsid w:val="000D1353"/>
    <w:rsid w:val="00105604"/>
    <w:rsid w:val="00145F92"/>
    <w:rsid w:val="00162E36"/>
    <w:rsid w:val="0018744C"/>
    <w:rsid w:val="00187EAC"/>
    <w:rsid w:val="001C2504"/>
    <w:rsid w:val="001C3050"/>
    <w:rsid w:val="00200B12"/>
    <w:rsid w:val="002A4B86"/>
    <w:rsid w:val="002A618C"/>
    <w:rsid w:val="003012A3"/>
    <w:rsid w:val="00317498"/>
    <w:rsid w:val="00333068"/>
    <w:rsid w:val="00366F26"/>
    <w:rsid w:val="003C46EF"/>
    <w:rsid w:val="003D22E1"/>
    <w:rsid w:val="003E4B49"/>
    <w:rsid w:val="00416298"/>
    <w:rsid w:val="00430B0E"/>
    <w:rsid w:val="0047088C"/>
    <w:rsid w:val="004D3D1D"/>
    <w:rsid w:val="00510EDB"/>
    <w:rsid w:val="005272C2"/>
    <w:rsid w:val="00536D16"/>
    <w:rsid w:val="005640EA"/>
    <w:rsid w:val="00582E22"/>
    <w:rsid w:val="00585022"/>
    <w:rsid w:val="005928B2"/>
    <w:rsid w:val="005C1557"/>
    <w:rsid w:val="005D76D7"/>
    <w:rsid w:val="005E058B"/>
    <w:rsid w:val="005F5FF1"/>
    <w:rsid w:val="00646BF6"/>
    <w:rsid w:val="006712D0"/>
    <w:rsid w:val="00680232"/>
    <w:rsid w:val="006E1EE8"/>
    <w:rsid w:val="00706330"/>
    <w:rsid w:val="00742A7A"/>
    <w:rsid w:val="00751134"/>
    <w:rsid w:val="00780D99"/>
    <w:rsid w:val="00795092"/>
    <w:rsid w:val="007A2D02"/>
    <w:rsid w:val="007F2DF5"/>
    <w:rsid w:val="00802AD2"/>
    <w:rsid w:val="00851BB5"/>
    <w:rsid w:val="00857052"/>
    <w:rsid w:val="00895B65"/>
    <w:rsid w:val="008C3E6A"/>
    <w:rsid w:val="008D6FF5"/>
    <w:rsid w:val="008F4AD9"/>
    <w:rsid w:val="0094645E"/>
    <w:rsid w:val="00952AC1"/>
    <w:rsid w:val="009619E8"/>
    <w:rsid w:val="009D2208"/>
    <w:rsid w:val="009E3805"/>
    <w:rsid w:val="009E609B"/>
    <w:rsid w:val="009E7BF9"/>
    <w:rsid w:val="009F296E"/>
    <w:rsid w:val="00A81F25"/>
    <w:rsid w:val="00AA1174"/>
    <w:rsid w:val="00AA17FE"/>
    <w:rsid w:val="00AA6508"/>
    <w:rsid w:val="00AB77FA"/>
    <w:rsid w:val="00AD6C5A"/>
    <w:rsid w:val="00B35574"/>
    <w:rsid w:val="00B36673"/>
    <w:rsid w:val="00B57F08"/>
    <w:rsid w:val="00B670D9"/>
    <w:rsid w:val="00B722ED"/>
    <w:rsid w:val="00BE1574"/>
    <w:rsid w:val="00C07D1F"/>
    <w:rsid w:val="00C34816"/>
    <w:rsid w:val="00C601DC"/>
    <w:rsid w:val="00C606C0"/>
    <w:rsid w:val="00C771D9"/>
    <w:rsid w:val="00C8696F"/>
    <w:rsid w:val="00D03240"/>
    <w:rsid w:val="00D11430"/>
    <w:rsid w:val="00D41DBC"/>
    <w:rsid w:val="00D81E45"/>
    <w:rsid w:val="00DA1DFE"/>
    <w:rsid w:val="00DA7BA3"/>
    <w:rsid w:val="00DF1F69"/>
    <w:rsid w:val="00DF499B"/>
    <w:rsid w:val="00E03394"/>
    <w:rsid w:val="00ED7B45"/>
    <w:rsid w:val="00F06AA0"/>
    <w:rsid w:val="00F205D1"/>
    <w:rsid w:val="00F25FC0"/>
    <w:rsid w:val="00F46B46"/>
    <w:rsid w:val="00F52669"/>
    <w:rsid w:val="00F74C9C"/>
    <w:rsid w:val="00F777DE"/>
    <w:rsid w:val="00F93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44</cp:revision>
  <cp:lastPrinted>2016-03-22T07:05:00Z</cp:lastPrinted>
  <dcterms:created xsi:type="dcterms:W3CDTF">2015-03-23T12:25:00Z</dcterms:created>
  <dcterms:modified xsi:type="dcterms:W3CDTF">2016-04-05T07:36:00Z</dcterms:modified>
</cp:coreProperties>
</file>